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63" w:rsidRDefault="00E92763" w:rsidP="00E92763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92763">
        <w:rPr>
          <w:rFonts w:ascii="Arial" w:hAnsi="Arial" w:cs="Arial"/>
          <w:b/>
          <w:sz w:val="28"/>
          <w:szCs w:val="28"/>
          <w:lang w:val="ru-RU"/>
        </w:rPr>
        <w:t xml:space="preserve">Маркетинговый отчет </w:t>
      </w:r>
    </w:p>
    <w:p w:rsidR="00FA26F7" w:rsidRDefault="00FA26F7" w:rsidP="00E92763">
      <w:pPr>
        <w:jc w:val="center"/>
        <w:rPr>
          <w:rFonts w:ascii="Arial" w:hAnsi="Arial" w:cs="Arial"/>
          <w:b/>
          <w:sz w:val="28"/>
          <w:szCs w:val="28"/>
        </w:rPr>
      </w:pPr>
    </w:p>
    <w:p w:rsidR="00E92763" w:rsidRDefault="00E92763" w:rsidP="00E92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СИСТЕМА </w:t>
      </w:r>
      <w:r w:rsidRPr="00E92763">
        <w:rPr>
          <w:rFonts w:ascii="Arial" w:hAnsi="Arial" w:cs="Arial"/>
          <w:b/>
          <w:sz w:val="28"/>
          <w:szCs w:val="28"/>
          <w:lang w:val="ru-RU"/>
        </w:rPr>
        <w:t>НАЛОГ</w:t>
      </w:r>
      <w:r>
        <w:rPr>
          <w:rFonts w:ascii="Arial" w:hAnsi="Arial" w:cs="Arial"/>
          <w:b/>
          <w:sz w:val="28"/>
          <w:szCs w:val="28"/>
          <w:lang w:val="ru-RU"/>
        </w:rPr>
        <w:t>ООБЛОЖЕНИЯ</w:t>
      </w:r>
      <w:r w:rsidRPr="00E92763">
        <w:rPr>
          <w:rFonts w:ascii="Arial" w:hAnsi="Arial" w:cs="Arial"/>
          <w:b/>
          <w:sz w:val="28"/>
          <w:szCs w:val="28"/>
          <w:lang w:val="ru-RU"/>
        </w:rPr>
        <w:t xml:space="preserve"> В АВСТРАЛИИ</w:t>
      </w:r>
    </w:p>
    <w:p w:rsidR="00FA26F7" w:rsidRDefault="00FA26F7" w:rsidP="00E9276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2B5B62" w:rsidRPr="002B5B62" w:rsidRDefault="002B5B62" w:rsidP="00E9276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FA26F7" w:rsidRPr="00E92763" w:rsidRDefault="00FA26F7" w:rsidP="00E9276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0B3FB03" wp14:editId="03B17A96">
            <wp:simplePos x="0" y="0"/>
            <wp:positionH relativeFrom="column">
              <wp:posOffset>0</wp:posOffset>
            </wp:positionH>
            <wp:positionV relativeFrom="paragraph">
              <wp:posOffset>163195</wp:posOffset>
            </wp:positionV>
            <wp:extent cx="2950845" cy="1756410"/>
            <wp:effectExtent l="0" t="0" r="1905" b="0"/>
            <wp:wrapTight wrapText="bothSides">
              <wp:wrapPolygon edited="0">
                <wp:start x="0" y="0"/>
                <wp:lineTo x="0" y="21319"/>
                <wp:lineTo x="21474" y="21319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Ta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F7" w:rsidRDefault="00FA26F7" w:rsidP="00E92763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Казалось бы</w:t>
      </w:r>
      <w:r w:rsidR="00E92763" w:rsidRPr="00E9276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 xml:space="preserve">налоги в Австралии высоки: </w:t>
      </w:r>
      <w:r w:rsidR="00E92763" w:rsidRPr="00E92763">
        <w:rPr>
          <w:rFonts w:ascii="Arial" w:hAnsi="Arial" w:cs="Arial"/>
        </w:rPr>
        <w:t xml:space="preserve">налог на прибыль в бизнесе составляет </w:t>
      </w:r>
      <w:r w:rsidR="00E92763">
        <w:rPr>
          <w:rFonts w:ascii="Arial" w:hAnsi="Arial" w:cs="Arial"/>
          <w:lang w:val="ru-RU"/>
        </w:rPr>
        <w:t>28,5</w:t>
      </w:r>
      <w:r w:rsidR="00E92763" w:rsidRPr="00E92763">
        <w:rPr>
          <w:rFonts w:ascii="Arial" w:hAnsi="Arial" w:cs="Arial"/>
        </w:rPr>
        <w:t>%, а налог на товары и услуги GST (аналог НДС) – 10%</w:t>
      </w:r>
      <w:r>
        <w:rPr>
          <w:rFonts w:ascii="Arial" w:hAnsi="Arial" w:cs="Arial"/>
          <w:lang w:val="ru-RU"/>
        </w:rPr>
        <w:t xml:space="preserve">, однако это не совсем так. В стране существует </w:t>
      </w:r>
      <w:r w:rsidR="00E92763" w:rsidRPr="00E92763">
        <w:rPr>
          <w:rFonts w:ascii="Arial" w:hAnsi="Arial" w:cs="Arial"/>
        </w:rPr>
        <w:t xml:space="preserve">развитая система государственного стимулирования, на уровне штатов и федерального правительства, для привлечения инвестиций и развития бизнеса. </w:t>
      </w:r>
    </w:p>
    <w:p w:rsidR="00FA26F7" w:rsidRDefault="00FA26F7" w:rsidP="00E92763">
      <w:pPr>
        <w:jc w:val="both"/>
        <w:rPr>
          <w:rFonts w:ascii="Arial" w:hAnsi="Arial" w:cs="Arial"/>
          <w:lang w:val="ru-RU"/>
        </w:rPr>
      </w:pPr>
    </w:p>
    <w:p w:rsidR="00FA26F7" w:rsidRDefault="00FA26F7" w:rsidP="00E92763">
      <w:pPr>
        <w:jc w:val="both"/>
        <w:rPr>
          <w:rFonts w:ascii="Arial" w:hAnsi="Arial" w:cs="Arial"/>
          <w:lang w:val="ru-RU"/>
        </w:rPr>
      </w:pPr>
    </w:p>
    <w:p w:rsidR="00E92763" w:rsidRPr="00E92763" w:rsidRDefault="00FA26F7" w:rsidP="00E9276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</w:t>
      </w:r>
      <w:r w:rsidR="00E92763" w:rsidRPr="00E92763">
        <w:rPr>
          <w:rFonts w:ascii="Arial" w:hAnsi="Arial" w:cs="Arial"/>
        </w:rPr>
        <w:t xml:space="preserve"> Австралии налог может быть существенно уменьшен (в т.ч. до нуля), или его вам вернут (в некоторых случаях, в большем размере, чем вы заплатили!). </w:t>
      </w:r>
      <w:proofErr w:type="gramStart"/>
      <w:r w:rsidR="00E92763" w:rsidRPr="00E92763">
        <w:rPr>
          <w:rFonts w:ascii="Arial" w:hAnsi="Arial" w:cs="Arial"/>
        </w:rPr>
        <w:t>Чтобы использовать это на практике, нужно понимать, что австралийское налоговое ведомство (ATO) работает в связке с министерствами, департаментами и правительственными агенствами, призванными стимулировать развитие бизнеса.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FA26F7" w:rsidRDefault="00FA26F7" w:rsidP="00E92763">
      <w:pPr>
        <w:jc w:val="both"/>
        <w:rPr>
          <w:rFonts w:ascii="Arial" w:hAnsi="Arial" w:cs="Arial"/>
          <w:lang w:val="ru-RU"/>
        </w:rPr>
      </w:pPr>
    </w:p>
    <w:p w:rsidR="00FA26F7" w:rsidRPr="002B5B62" w:rsidRDefault="002B5B62" w:rsidP="00E92763">
      <w:pPr>
        <w:jc w:val="both"/>
        <w:rPr>
          <w:rFonts w:ascii="Arial" w:hAnsi="Arial" w:cs="Arial"/>
          <w:b/>
          <w:lang w:val="ru-RU"/>
        </w:rPr>
      </w:pPr>
      <w:r w:rsidRPr="002B5B62">
        <w:rPr>
          <w:rFonts w:ascii="Arial" w:hAnsi="Arial" w:cs="Arial"/>
          <w:b/>
          <w:lang w:val="ru-RU"/>
        </w:rPr>
        <w:t>Налогообложение Бизнеса</w:t>
      </w:r>
    </w:p>
    <w:p w:rsidR="002B5B62" w:rsidRDefault="002B5B62" w:rsidP="00E92763">
      <w:pPr>
        <w:jc w:val="both"/>
        <w:rPr>
          <w:rFonts w:ascii="Arial" w:hAnsi="Arial" w:cs="Arial"/>
          <w:lang w:val="ru-RU"/>
        </w:rPr>
      </w:pPr>
    </w:p>
    <w:p w:rsidR="00E92763" w:rsidRPr="00E92763" w:rsidRDefault="002B5B62" w:rsidP="00E9276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</w:t>
      </w:r>
      <w:r w:rsidR="00E92763" w:rsidRPr="00E92763">
        <w:rPr>
          <w:rFonts w:ascii="Arial" w:hAnsi="Arial" w:cs="Arial"/>
        </w:rPr>
        <w:t xml:space="preserve">онятие минимизации налогов в Австралии </w:t>
      </w:r>
      <w:r>
        <w:rPr>
          <w:rFonts w:ascii="Arial" w:hAnsi="Arial" w:cs="Arial"/>
          <w:lang w:val="ru-RU"/>
        </w:rPr>
        <w:t>пполне легитимно</w:t>
      </w:r>
      <w:r w:rsidR="00E92763" w:rsidRPr="00E92763">
        <w:rPr>
          <w:rFonts w:ascii="Arial" w:hAnsi="Arial" w:cs="Arial"/>
        </w:rPr>
        <w:t xml:space="preserve"> и АТО само выпускает пособия, как это делать. </w:t>
      </w:r>
      <w:proofErr w:type="gramStart"/>
      <w:r w:rsidR="00E92763" w:rsidRPr="00E92763">
        <w:rPr>
          <w:rFonts w:ascii="Arial" w:hAnsi="Arial" w:cs="Arial"/>
        </w:rPr>
        <w:t>Дело в том, что экономика Австралии преимущественно инновационная, а слово «венчур» имеет здесь более чем полувековую историю.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 xml:space="preserve">Венчур – это когда вы вкладываете в новый, заведомо высокодоходный бизнес-проект несколько миллион долларов (при этом, </w:t>
      </w:r>
      <w:r>
        <w:rPr>
          <w:rFonts w:ascii="Arial" w:hAnsi="Arial" w:cs="Arial"/>
          <w:lang w:val="ru-RU"/>
        </w:rPr>
        <w:t xml:space="preserve">как правило </w:t>
      </w:r>
      <w:r w:rsidR="00E92763" w:rsidRPr="00E92763">
        <w:rPr>
          <w:rFonts w:ascii="Arial" w:hAnsi="Arial" w:cs="Arial"/>
        </w:rPr>
        <w:t>государство вложит в проект половину нужной суммы) с намерением продать бизнес через три года за несколько сотен миллион долларов.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>Разумеется, такой бизнес неизбежно связан с рисками; чтобы снизить их, правительство полностью или частично (это зависит от проекта) освободит вас от налогов на период выхода проекта на самоокупаемость.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>Кроме того, вам будут предложены различные схемы компансации издержек, дотаций и субсидий.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 xml:space="preserve">Некоторые из них встроены в систему налогообложения, они и будут </w:t>
      </w:r>
      <w:r>
        <w:rPr>
          <w:rFonts w:ascii="Arial" w:hAnsi="Arial" w:cs="Arial"/>
          <w:lang w:val="ru-RU"/>
        </w:rPr>
        <w:t>описаны</w:t>
      </w:r>
      <w:r w:rsidR="00E92763" w:rsidRPr="00E92763">
        <w:rPr>
          <w:rFonts w:ascii="Arial" w:hAnsi="Arial" w:cs="Arial"/>
        </w:rPr>
        <w:t xml:space="preserve"> в данно</w:t>
      </w:r>
      <w:r>
        <w:rPr>
          <w:rFonts w:ascii="Arial" w:hAnsi="Arial" w:cs="Arial"/>
          <w:lang w:val="ru-RU"/>
        </w:rPr>
        <w:t>м отчете</w:t>
      </w:r>
      <w:r w:rsidR="00E92763" w:rsidRPr="00E92763">
        <w:rPr>
          <w:rFonts w:ascii="Arial" w:hAnsi="Arial" w:cs="Arial"/>
        </w:rPr>
        <w:t>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 xml:space="preserve">Сегодня венчурный бизнес </w:t>
      </w:r>
      <w:r w:rsidR="002B5B62">
        <w:rPr>
          <w:rFonts w:ascii="Arial" w:hAnsi="Arial" w:cs="Arial"/>
          <w:lang w:val="ru-RU"/>
        </w:rPr>
        <w:t>в Австралии</w:t>
      </w:r>
      <w:r w:rsidRPr="00E92763">
        <w:rPr>
          <w:rFonts w:ascii="Arial" w:hAnsi="Arial" w:cs="Arial"/>
        </w:rPr>
        <w:t xml:space="preserve"> на стартовой стадии полностью освобождается от налога на прибыль.</w:t>
      </w:r>
      <w:proofErr w:type="gramEnd"/>
      <w:r w:rsidRPr="00E92763">
        <w:rPr>
          <w:rFonts w:ascii="Arial" w:hAnsi="Arial" w:cs="Arial"/>
        </w:rPr>
        <w:t xml:space="preserve"> Для этого созданы две специальные правовые формы бизнеса: венчурное партнерство с ограниченной ответственностью (Venture Capital Limited Partnerships — VCLPs) and венчурное ограниченное партнерство ранней стадии (Early Stage Venture Capital Limited Partnership — ESVCLPs). </w:t>
      </w:r>
      <w:proofErr w:type="gramStart"/>
      <w:r w:rsidRPr="00E92763">
        <w:rPr>
          <w:rFonts w:ascii="Arial" w:hAnsi="Arial" w:cs="Arial"/>
        </w:rPr>
        <w:t>Для того, чтобы воспользоваться этим благом, генеральный партнер венчура (тот кто инвестирует), должен быть резидентом Австралии или той страны, с которой Австралия имеет соглашение об избежании двойного налогообложения (Double Tax Agreement — DTA).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РФ входит в список таких стран.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Попросту говоря, если замысел бизнес проекта (технология, продукт или услуга) исходит от российского предпринимателя, а венчурный капитал – австралийский (или российский), то налога на прибыль не будет.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lastRenderedPageBreak/>
        <w:t>Инвестиции должны быть привлечены в партнерство по крайней мере на 12 месяцев.</w:t>
      </w:r>
      <w:proofErr w:type="gramEnd"/>
      <w:r w:rsidRPr="00E92763">
        <w:rPr>
          <w:rFonts w:ascii="Arial" w:hAnsi="Arial" w:cs="Arial"/>
        </w:rPr>
        <w:t xml:space="preserve"> Для структур VCLP и ESVCLP процедурные условия имеют некоторые отличия:</w:t>
      </w:r>
    </w:p>
    <w:p w:rsidR="00E92763" w:rsidRPr="002B5B62" w:rsidRDefault="00E92763" w:rsidP="002B5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5B62">
        <w:rPr>
          <w:rFonts w:ascii="Arial" w:hAnsi="Arial" w:cs="Arial"/>
        </w:rPr>
        <w:t xml:space="preserve">ESVCLP должна иметь размер финансирования в диапазоне между 10 млн. </w:t>
      </w:r>
      <w:proofErr w:type="gramStart"/>
      <w:r w:rsidRPr="002B5B62">
        <w:rPr>
          <w:rFonts w:ascii="Arial" w:hAnsi="Arial" w:cs="Arial"/>
        </w:rPr>
        <w:t>и</w:t>
      </w:r>
      <w:proofErr w:type="gramEnd"/>
      <w:r w:rsidRPr="002B5B62">
        <w:rPr>
          <w:rFonts w:ascii="Arial" w:hAnsi="Arial" w:cs="Arial"/>
        </w:rPr>
        <w:t xml:space="preserve"> 100 млн. австралийских долларов;</w:t>
      </w:r>
    </w:p>
    <w:p w:rsidR="00E92763" w:rsidRPr="002B5B62" w:rsidRDefault="00E92763" w:rsidP="002B5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5B62">
        <w:rPr>
          <w:rFonts w:ascii="Arial" w:hAnsi="Arial" w:cs="Arial"/>
        </w:rPr>
        <w:t>VCLP может имеет максимальный размер финансирования 250 млн. долларов;</w:t>
      </w:r>
    </w:p>
    <w:p w:rsidR="00E92763" w:rsidRPr="002B5B62" w:rsidRDefault="00E92763" w:rsidP="002B5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2B5B62">
        <w:rPr>
          <w:rFonts w:ascii="Arial" w:hAnsi="Arial" w:cs="Arial"/>
        </w:rPr>
        <w:t>для</w:t>
      </w:r>
      <w:proofErr w:type="gramEnd"/>
      <w:r w:rsidRPr="002B5B62">
        <w:rPr>
          <w:rFonts w:ascii="Arial" w:hAnsi="Arial" w:cs="Arial"/>
        </w:rPr>
        <w:t xml:space="preserve"> ESVCLP, инвестируемые предприятия не могут иметь совокупные активы, превышающие 50 млн. долларов непосредственно перед вливанием;</w:t>
      </w:r>
    </w:p>
    <w:p w:rsidR="00E92763" w:rsidRPr="002B5B62" w:rsidRDefault="00E92763" w:rsidP="002B5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5B62">
        <w:rPr>
          <w:rFonts w:ascii="Arial" w:hAnsi="Arial" w:cs="Arial"/>
        </w:rPr>
        <w:t>ESCVLP должны освоить инвестиции, прежде чем его активы возрастут до 250 млн. долларов;</w:t>
      </w:r>
    </w:p>
    <w:p w:rsidR="00E92763" w:rsidRPr="002B5B62" w:rsidRDefault="00E92763" w:rsidP="002B5B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2B5B62">
        <w:rPr>
          <w:rFonts w:ascii="Arial" w:hAnsi="Arial" w:cs="Arial"/>
        </w:rPr>
        <w:t>для</w:t>
      </w:r>
      <w:proofErr w:type="gramEnd"/>
      <w:r w:rsidRPr="002B5B62">
        <w:rPr>
          <w:rFonts w:ascii="Arial" w:hAnsi="Arial" w:cs="Arial"/>
        </w:rPr>
        <w:t xml:space="preserve"> VCLP инвестируемой предприятия не могут иметь общие активы, превышающие 250 млн. </w:t>
      </w:r>
      <w:proofErr w:type="gramStart"/>
      <w:r w:rsidRPr="002B5B62">
        <w:rPr>
          <w:rFonts w:ascii="Arial" w:hAnsi="Arial" w:cs="Arial"/>
        </w:rPr>
        <w:t>долларов</w:t>
      </w:r>
      <w:proofErr w:type="gramEnd"/>
      <w:r w:rsidRPr="002B5B62">
        <w:rPr>
          <w:rFonts w:ascii="Arial" w:hAnsi="Arial" w:cs="Arial"/>
        </w:rPr>
        <w:t xml:space="preserve"> и должны иметь, по крайней мере 50 процентов сотрудников и активов в Австралии.</w:t>
      </w:r>
    </w:p>
    <w:p w:rsidR="002B5B62" w:rsidRDefault="002B5B62" w:rsidP="00E92763">
      <w:pPr>
        <w:jc w:val="both"/>
        <w:rPr>
          <w:rFonts w:ascii="Arial" w:hAnsi="Arial" w:cs="Arial"/>
          <w:lang w:val="ru-RU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Для обеспечения проектов венчурным капиталом, правительство учредило множество фондов под общим управлением AusIndustry (подразделения департамента промышленности), обеспечивающих долевое финансирование и гранты в конкретных отраслях, таких как автомобилестроение, технологии очистки, многие производства (одежда, бытовые приборы, текстильная промышленность и пр.).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Кроме того, есть освобождения от импортных пошлин и тарифов для горнодобывающей промышленности и переработки полезных ископаемых, сельского хозяйства, производства продовольствия, энергетика и водоснабжение.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Для реализации проекта может быть выделена федеральная земля (Crown Land).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Такие земельные участки находится в ведении Департамента охраны окружающей среды и природных ресурсов (DENR).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r w:rsidRPr="00E92763">
        <w:rPr>
          <w:rFonts w:ascii="Arial" w:hAnsi="Arial" w:cs="Arial"/>
        </w:rPr>
        <w:t xml:space="preserve">Если проект предусматривает последующий экспорт продукции или услуг, то Австралийская торговая комиссия (Austrade) компенсирует до 50% затрат, связанных с подготовкой экспорта, включая издержки на маркетинг. </w:t>
      </w:r>
      <w:proofErr w:type="gramStart"/>
      <w:r w:rsidRPr="00E92763">
        <w:rPr>
          <w:rFonts w:ascii="Arial" w:hAnsi="Arial" w:cs="Arial"/>
        </w:rPr>
        <w:t>Финасовый год в Австралии начинается с 1 июля, поэтому Austrade принимает заявки на финансирование с 1 июля по 2 декабря.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Чтобы иметь право на получение гранта, бизнес должен иметь доход не более 50 млн.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долларов</w:t>
      </w:r>
      <w:proofErr w:type="gramEnd"/>
      <w:r w:rsidRPr="00E92763">
        <w:rPr>
          <w:rFonts w:ascii="Arial" w:hAnsi="Arial" w:cs="Arial"/>
        </w:rPr>
        <w:t xml:space="preserve"> в год подачи заявки.</w:t>
      </w:r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Научные исследования и разработки (R&amp;D в принятой здесь международной терминологии), неизбежные для инновационных проектов, имеют специфические для Австралии налоговые льготы, выдаваемые совместно АТО и Инновационным Агенством (Innovation Australia) через AusIndustry.</w:t>
      </w:r>
      <w:proofErr w:type="gramEnd"/>
      <w:r w:rsidRPr="00E92763">
        <w:rPr>
          <w:rFonts w:ascii="Arial" w:hAnsi="Arial" w:cs="Arial"/>
        </w:rPr>
        <w:t xml:space="preserve"> Если компания имеет агрегированный оборот менее 20 млн долларов, то она получает эквивалент 150% налогового вычета, если более 20 млн долларов — то только 133%. </w:t>
      </w:r>
      <w:proofErr w:type="gramStart"/>
      <w:r w:rsidRPr="00E92763">
        <w:rPr>
          <w:rFonts w:ascii="Arial" w:hAnsi="Arial" w:cs="Arial"/>
        </w:rPr>
        <w:t>Получать эту компенсацию могут компании, зарегистрированные в Австралии; иностранные компании, являющиеся налоговыми резидентами в Австралии или в странах, с которыми у Австралии подписано DTA.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В случае, если работы по объективным причинам нельзя вести в Австралии, они могут проводиться за рубежом при условии наличия связи с бизнесом в Австралии. Затраты на R&amp;D у соискателя должны быть не менее 20 000 долларов в соответствующем году.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Затраты на маркетинг могут быть включены в состав компенсируемых.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Для того, чтобы претендовать на возмещение затрат на R&amp;D соискатель должен быть зарегистрирован в AusIndustry каждый год.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Заявка на регистрацию должна быть подана не позднее десяти месяцев после окончания финансового года.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2B5B62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Особая форма льгот существует для участников инфраструктурных проектов, инициируемых правительством.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В 2013 году был принят закон, призванный обеспечить налоговые льготы для них.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Согласно этому законодательству, снижение доходов, возникающее у участников этих проектах по сравнению с предыдущим годом, будет компенсировано (exempt from the tax loss recoupment rules).</w:t>
      </w:r>
      <w:proofErr w:type="gramEnd"/>
      <w:r w:rsidRPr="00E92763">
        <w:rPr>
          <w:rFonts w:ascii="Arial" w:hAnsi="Arial" w:cs="Arial"/>
        </w:rPr>
        <w:t xml:space="preserve"> </w:t>
      </w:r>
    </w:p>
    <w:p w:rsidR="002B5B62" w:rsidRPr="002B5B62" w:rsidRDefault="002B5B62" w:rsidP="00E92763">
      <w:pPr>
        <w:jc w:val="both"/>
        <w:rPr>
          <w:rFonts w:ascii="Arial" w:hAnsi="Arial" w:cs="Arial"/>
          <w:b/>
          <w:lang w:val="ru-RU"/>
        </w:rPr>
      </w:pPr>
      <w:r w:rsidRPr="002B5B62">
        <w:rPr>
          <w:rFonts w:ascii="Arial" w:hAnsi="Arial" w:cs="Arial"/>
          <w:b/>
          <w:lang w:val="ru-RU"/>
        </w:rPr>
        <w:lastRenderedPageBreak/>
        <w:t>Персональное налогообложение</w:t>
      </w:r>
    </w:p>
    <w:p w:rsidR="002B5B62" w:rsidRDefault="002B5B62" w:rsidP="00E92763">
      <w:pPr>
        <w:jc w:val="both"/>
        <w:rPr>
          <w:rFonts w:ascii="Arial" w:hAnsi="Arial" w:cs="Arial"/>
          <w:lang w:val="ru-RU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Для целей налогообложения различие между резидентом и нерезидентом сугубо формальное и не связано с иммиграционным статусом (хотя, статус налогового резидента является существенным подспорьем при получении ПМЖ).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Как правило, человек считается резидентом Австралии, если имеет юридический адрес в Австралии, или находился здесь свыше 183 дней.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Компания будет рассматриваться в качестве резидентной, если она осуществляет предпринимательскую деятельность в Австралии и/или имеет здесь управление, или контролируется акционерами, являющимися резидентами Австралии.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Австралийская система налогообложения существует на двух уровнях – федеральном и штатов.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Федеральными являются подоходный налог, налог на товары и услуги (GST), налог на социальные нужды (FBT), таможенные пошлины и акцизные сборы.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Налоги, взимаемые правительствами штатов включают гербовые сборы, земельные налоги, а также налоги на некоторые виды хозяйственных операций.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На федеральном уровне, налогообложение находится в ведении Австралийского налогового управления (ATO), которое представлено</w:t>
      </w:r>
      <w:r w:rsidR="002B5B62">
        <w:rPr>
          <w:rFonts w:ascii="Arial" w:hAnsi="Arial" w:cs="Arial"/>
          <w:lang w:val="ru-RU"/>
        </w:rPr>
        <w:t xml:space="preserve"> </w:t>
      </w:r>
      <w:r w:rsidRPr="00E92763">
        <w:rPr>
          <w:rFonts w:ascii="Arial" w:hAnsi="Arial" w:cs="Arial"/>
        </w:rPr>
        <w:t>Уполномоченным по налогам и сборам (Commissioner).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На уровне штата – это департамент доходов (State Revenue Office).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2B5B62" w:rsidRDefault="00E92763" w:rsidP="00E92763">
      <w:pPr>
        <w:jc w:val="both"/>
        <w:rPr>
          <w:rFonts w:ascii="Arial" w:hAnsi="Arial" w:cs="Arial"/>
          <w:lang w:val="ru-RU"/>
        </w:rPr>
      </w:pPr>
      <w:proofErr w:type="gramStart"/>
      <w:r w:rsidRPr="00E92763">
        <w:rPr>
          <w:rFonts w:ascii="Arial" w:hAnsi="Arial" w:cs="Arial"/>
        </w:rPr>
        <w:t>Для целей налогообложения частные лица получают индивидуальный налоговый номер (Tax File Number — TFN), а компании – уникальный номер австралийской компании (Australian Business Number — ABN).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 xml:space="preserve">По завершении финансового года </w:t>
      </w:r>
      <w:r w:rsidR="002B5B62">
        <w:rPr>
          <w:rFonts w:ascii="Arial" w:hAnsi="Arial" w:cs="Arial"/>
          <w:lang w:val="ru-RU"/>
        </w:rPr>
        <w:t xml:space="preserve">(1 июля) </w:t>
      </w:r>
      <w:r w:rsidRPr="00E92763">
        <w:rPr>
          <w:rFonts w:ascii="Arial" w:hAnsi="Arial" w:cs="Arial"/>
        </w:rPr>
        <w:t>все обладатели TFN и ABN, т.е. налоговые резидены, должны подать в АТО годовую налоговую декларацию.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При этом можно пользоваться услугами зарегистрированного налогового агента, но можно делать это и самому.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Австралия имеет систему самооценки — это означает, что все налогоплательщики (физические лица и компании) собирают только ограниченный набор данных, необходимый для расчета их налоговых обязательств.</w:t>
      </w:r>
      <w:proofErr w:type="gramEnd"/>
      <w:r w:rsidRPr="00E92763">
        <w:rPr>
          <w:rFonts w:ascii="Arial" w:hAnsi="Arial" w:cs="Arial"/>
        </w:rPr>
        <w:t xml:space="preserve"> </w:t>
      </w:r>
    </w:p>
    <w:p w:rsidR="002B5B62" w:rsidRDefault="002B5B62" w:rsidP="00E92763">
      <w:pPr>
        <w:jc w:val="both"/>
        <w:rPr>
          <w:rFonts w:ascii="Arial" w:hAnsi="Arial" w:cs="Arial"/>
          <w:lang w:val="ru-RU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Для получения налоговых льгот и вычетов нужно предствить дополнительные сведения; для упрощения налоговых формальностей и придуманы описанные в предыдущем разделе структуры VCLP и ESVCLP.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Если налогоплательщик намеренно представил неправильные данные для уменьшения налогооблагаемой база, то будет проведена аудиторская проверка и на него могут налагаться штрафы.</w:t>
      </w:r>
      <w:proofErr w:type="gramEnd"/>
      <w:r w:rsidRPr="00E92763">
        <w:rPr>
          <w:rFonts w:ascii="Arial" w:hAnsi="Arial" w:cs="Arial"/>
        </w:rPr>
        <w:t xml:space="preserve"> Если же выяснится переплата по налогам, то АТО вернет переплаченную сумму с начисленными на нее процентами согласно действующей банковской ставке (порядка 5</w:t>
      </w:r>
      <w:proofErr w:type="gramStart"/>
      <w:r w:rsidRPr="00E92763">
        <w:rPr>
          <w:rFonts w:ascii="Arial" w:hAnsi="Arial" w:cs="Arial"/>
        </w:rPr>
        <w:t>,5</w:t>
      </w:r>
      <w:proofErr w:type="gramEnd"/>
      <w:r w:rsidRPr="00E92763">
        <w:rPr>
          <w:rFonts w:ascii="Arial" w:hAnsi="Arial" w:cs="Arial"/>
        </w:rPr>
        <w:t xml:space="preserve">% годовых). В случае получения каких-либо платежей на банковский счет, владелец которого не представил банку своего TFN или ABN, налог </w:t>
      </w:r>
      <w:r w:rsidR="002B5B62">
        <w:rPr>
          <w:rFonts w:ascii="Arial" w:hAnsi="Arial" w:cs="Arial"/>
          <w:lang w:val="ru-RU"/>
        </w:rPr>
        <w:t xml:space="preserve">с начисленных процентов по счету </w:t>
      </w:r>
      <w:r w:rsidRPr="00E92763">
        <w:rPr>
          <w:rFonts w:ascii="Arial" w:hAnsi="Arial" w:cs="Arial"/>
        </w:rPr>
        <w:t>будет взят по максимальной ставке 45% плюс 1,5% налога в систему бесплатного медицинского обслуживания (Medicare Levy), т.е. 46,5%.</w:t>
      </w:r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2B5B62" w:rsidP="00E92763">
      <w:pPr>
        <w:jc w:val="both"/>
        <w:rPr>
          <w:rFonts w:ascii="Arial" w:hAnsi="Arial" w:cs="Arial"/>
        </w:rPr>
      </w:pPr>
      <w:r w:rsidRPr="002B5B62">
        <w:rPr>
          <w:rFonts w:ascii="Arial" w:hAnsi="Arial" w:cs="Arial"/>
        </w:rPr>
        <w:t>Ставка</w:t>
      </w:r>
      <w:r w:rsidR="00E92763" w:rsidRPr="00E92763">
        <w:rPr>
          <w:rFonts w:ascii="Arial" w:hAnsi="Arial" w:cs="Arial"/>
        </w:rPr>
        <w:t xml:space="preserve"> персональн</w:t>
      </w:r>
      <w:r>
        <w:rPr>
          <w:rFonts w:ascii="Arial" w:hAnsi="Arial" w:cs="Arial"/>
          <w:lang w:val="ru-RU"/>
        </w:rPr>
        <w:t>ого</w:t>
      </w:r>
      <w:r w:rsidR="00E92763" w:rsidRPr="00E92763">
        <w:rPr>
          <w:rFonts w:ascii="Arial" w:hAnsi="Arial" w:cs="Arial"/>
        </w:rPr>
        <w:t xml:space="preserve"> налог</w:t>
      </w:r>
      <w:r>
        <w:rPr>
          <w:rFonts w:ascii="Arial" w:hAnsi="Arial" w:cs="Arial"/>
          <w:lang w:val="ru-RU"/>
        </w:rPr>
        <w:t>а</w:t>
      </w:r>
      <w:r w:rsidR="00E92763" w:rsidRPr="00E92763">
        <w:rPr>
          <w:rFonts w:ascii="Arial" w:hAnsi="Arial" w:cs="Arial"/>
        </w:rPr>
        <w:t xml:space="preserve"> на доходы </w:t>
      </w:r>
      <w:r w:rsidRPr="002B5B62">
        <w:rPr>
          <w:rFonts w:ascii="Arial" w:hAnsi="Arial" w:cs="Arial"/>
        </w:rPr>
        <w:t>плавающая и вычисляется следующим образом:</w:t>
      </w:r>
    </w:p>
    <w:p w:rsidR="00E92763" w:rsidRPr="00DB585D" w:rsidRDefault="00E92763" w:rsidP="00DB585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при годовом доходе менее $ 18 200 для резидента налог равен нулю, для нерезидента, он составляет 32,5%;</w:t>
      </w:r>
    </w:p>
    <w:p w:rsidR="00E92763" w:rsidRPr="00DB585D" w:rsidRDefault="00E92763" w:rsidP="00DB585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DB585D">
        <w:rPr>
          <w:rFonts w:ascii="Arial" w:hAnsi="Arial" w:cs="Arial"/>
        </w:rPr>
        <w:t>при</w:t>
      </w:r>
      <w:proofErr w:type="gramEnd"/>
      <w:r w:rsidRPr="00DB585D">
        <w:rPr>
          <w:rFonts w:ascii="Arial" w:hAnsi="Arial" w:cs="Arial"/>
        </w:rPr>
        <w:t xml:space="preserve"> годовом доходе от $18 201 до $37 000 для резидента налог 19%, для нерезидента он по прежнему 32,5%.</w:t>
      </w:r>
    </w:p>
    <w:p w:rsidR="00E92763" w:rsidRPr="00E92763" w:rsidRDefault="00E92763" w:rsidP="00E92763">
      <w:pPr>
        <w:jc w:val="both"/>
        <w:rPr>
          <w:rFonts w:ascii="Arial" w:hAnsi="Arial" w:cs="Arial"/>
        </w:rPr>
      </w:pPr>
      <w:r w:rsidRPr="00E92763">
        <w:rPr>
          <w:rFonts w:ascii="Arial" w:hAnsi="Arial" w:cs="Arial"/>
        </w:rPr>
        <w:t>При больших доходах резиденты и нерезиденты уравниваются в правах:</w:t>
      </w:r>
    </w:p>
    <w:p w:rsidR="00E92763" w:rsidRPr="00DB585D" w:rsidRDefault="00E92763" w:rsidP="00DB585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при годовом доходе от $37 001 до $80 000 налог составляет 32,5%;</w:t>
      </w:r>
    </w:p>
    <w:p w:rsidR="00E92763" w:rsidRPr="00DB585D" w:rsidRDefault="00E92763" w:rsidP="00DB585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при годовом доходе от $80 001 до $180 000 налог составляет 37%;</w:t>
      </w:r>
    </w:p>
    <w:p w:rsidR="00E92763" w:rsidRPr="00DB585D" w:rsidRDefault="00E92763" w:rsidP="00DB585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DB585D">
        <w:rPr>
          <w:rFonts w:ascii="Arial" w:hAnsi="Arial" w:cs="Arial"/>
        </w:rPr>
        <w:t>при</w:t>
      </w:r>
      <w:proofErr w:type="gramEnd"/>
      <w:r w:rsidRPr="00DB585D">
        <w:rPr>
          <w:rFonts w:ascii="Arial" w:hAnsi="Arial" w:cs="Arial"/>
        </w:rPr>
        <w:t xml:space="preserve"> годовом доходе более $180 000 налог составляет 45%.</w:t>
      </w: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АТО применяет более сложные формулы для исчисления налога, но приведенные выше проценты вполне отражают суть процесса и могут удовлетворить любопытство.</w:t>
      </w:r>
      <w:proofErr w:type="gramEnd"/>
    </w:p>
    <w:p w:rsidR="00E92763" w:rsidRPr="00DB585D" w:rsidRDefault="00DB585D" w:rsidP="00E92763">
      <w:pPr>
        <w:jc w:val="both"/>
        <w:rPr>
          <w:rFonts w:ascii="Arial" w:hAnsi="Arial" w:cs="Arial"/>
          <w:b/>
          <w:lang w:val="ru-RU"/>
        </w:rPr>
      </w:pPr>
      <w:r w:rsidRPr="00DB585D">
        <w:rPr>
          <w:rFonts w:ascii="Arial" w:hAnsi="Arial" w:cs="Arial"/>
          <w:b/>
        </w:rPr>
        <w:lastRenderedPageBreak/>
        <w:t>Списание на расходы в Австралии</w:t>
      </w:r>
    </w:p>
    <w:p w:rsidR="00DB585D" w:rsidRPr="00DB585D" w:rsidRDefault="00DB585D" w:rsidP="00E92763">
      <w:pPr>
        <w:jc w:val="both"/>
        <w:rPr>
          <w:rFonts w:ascii="Arial" w:hAnsi="Arial" w:cs="Arial"/>
          <w:lang w:val="ru-RU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 xml:space="preserve">Списание на расходы в Австралии имеет множество статей (АТО издает руководство по списанию на расходы для более полусотни профессий), так что для полного изложения вопроса в </w:t>
      </w:r>
      <w:r w:rsidR="00DB585D">
        <w:rPr>
          <w:rFonts w:ascii="Arial" w:hAnsi="Arial" w:cs="Arial"/>
          <w:lang w:val="ru-RU"/>
        </w:rPr>
        <w:t xml:space="preserve">отчете </w:t>
      </w:r>
      <w:r w:rsidRPr="00E92763">
        <w:rPr>
          <w:rFonts w:ascii="Arial" w:hAnsi="Arial" w:cs="Arial"/>
        </w:rPr>
        <w:t>просто недостаточно места.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Рассмотрим его только для владельцев недвижимости.</w:t>
      </w:r>
      <w:proofErr w:type="gramEnd"/>
      <w:r w:rsidRPr="00E92763">
        <w:rPr>
          <w:rFonts w:ascii="Arial" w:hAnsi="Arial" w:cs="Arial"/>
        </w:rPr>
        <w:t xml:space="preserve"> Для них предусмотрены следующие вычеты из доходов:</w:t>
      </w:r>
    </w:p>
    <w:p w:rsidR="00E92763" w:rsidRPr="00DB585D" w:rsidRDefault="00E92763" w:rsidP="00DB585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проценты по кредиту на покупку недвижимости;</w:t>
      </w:r>
    </w:p>
    <w:p w:rsidR="00E92763" w:rsidRPr="00DB585D" w:rsidRDefault="00E92763" w:rsidP="00DB585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расходы на маркетинг и услуги риелтеров;</w:t>
      </w:r>
    </w:p>
    <w:p w:rsidR="00E92763" w:rsidRPr="00DB585D" w:rsidRDefault="00E92763" w:rsidP="00DB585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страхование недвижимости;</w:t>
      </w:r>
    </w:p>
    <w:p w:rsidR="00E92763" w:rsidRPr="00DB585D" w:rsidRDefault="00E92763" w:rsidP="00DB585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платежи за электричество, воду и т.д.;</w:t>
      </w:r>
    </w:p>
    <w:p w:rsidR="00E92763" w:rsidRPr="00DB585D" w:rsidRDefault="00E92763" w:rsidP="00DB585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платежи за обслуживание сада;</w:t>
      </w:r>
    </w:p>
    <w:p w:rsidR="00E92763" w:rsidRPr="00DB585D" w:rsidRDefault="00E92763" w:rsidP="00DB585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DB585D">
        <w:rPr>
          <w:rFonts w:ascii="Arial" w:hAnsi="Arial" w:cs="Arial"/>
        </w:rPr>
        <w:t>амортизация</w:t>
      </w:r>
      <w:proofErr w:type="gramEnd"/>
      <w:r w:rsidRPr="00DB585D">
        <w:rPr>
          <w:rFonts w:ascii="Arial" w:hAnsi="Arial" w:cs="Arial"/>
        </w:rPr>
        <w:t xml:space="preserve"> здания, бытовой техники и пр. (</w:t>
      </w:r>
      <w:proofErr w:type="gramStart"/>
      <w:r w:rsidRPr="00DB585D">
        <w:rPr>
          <w:rFonts w:ascii="Arial" w:hAnsi="Arial" w:cs="Arial"/>
        </w:rPr>
        <w:t>графики</w:t>
      </w:r>
      <w:proofErr w:type="gramEnd"/>
      <w:r w:rsidRPr="00DB585D">
        <w:rPr>
          <w:rFonts w:ascii="Arial" w:hAnsi="Arial" w:cs="Arial"/>
        </w:rPr>
        <w:t xml:space="preserve"> амортизации устанавливаются Уполномоченным по налогам и сборам и диапазоне от нескольких лет до более чем 20 лет.)</w:t>
      </w:r>
    </w:p>
    <w:p w:rsidR="00E92763" w:rsidRDefault="00E92763" w:rsidP="00E92763">
      <w:pPr>
        <w:jc w:val="both"/>
        <w:rPr>
          <w:rFonts w:ascii="Arial" w:hAnsi="Arial" w:cs="Arial"/>
          <w:lang w:val="ru-RU"/>
        </w:rPr>
      </w:pPr>
    </w:p>
    <w:p w:rsidR="00DB585D" w:rsidRPr="00DB585D" w:rsidRDefault="00DB585D" w:rsidP="00E92763">
      <w:pPr>
        <w:jc w:val="both"/>
        <w:rPr>
          <w:rFonts w:ascii="Arial" w:hAnsi="Arial" w:cs="Arial"/>
          <w:lang w:val="ru-RU"/>
        </w:rPr>
      </w:pPr>
    </w:p>
    <w:p w:rsidR="00DB585D" w:rsidRPr="00DB585D" w:rsidRDefault="00DB585D" w:rsidP="00E92763">
      <w:pPr>
        <w:jc w:val="both"/>
        <w:rPr>
          <w:rFonts w:ascii="Arial" w:hAnsi="Arial" w:cs="Arial"/>
          <w:b/>
          <w:lang w:val="ru-RU"/>
        </w:rPr>
      </w:pPr>
      <w:r w:rsidRPr="00DB585D">
        <w:rPr>
          <w:rFonts w:ascii="Arial" w:hAnsi="Arial" w:cs="Arial"/>
          <w:b/>
          <w:lang w:val="ru-RU"/>
        </w:rPr>
        <w:t>Отрицательные налоги (negative gearing)</w:t>
      </w:r>
    </w:p>
    <w:p w:rsidR="00DB585D" w:rsidRDefault="00DB585D" w:rsidP="00E92763">
      <w:pPr>
        <w:jc w:val="both"/>
        <w:rPr>
          <w:rFonts w:ascii="Arial" w:hAnsi="Arial" w:cs="Arial"/>
          <w:lang w:val="ru-RU"/>
        </w:rPr>
      </w:pPr>
    </w:p>
    <w:p w:rsidR="00DB585D" w:rsidRDefault="00DB585D" w:rsidP="00E92763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Это </w:t>
      </w:r>
      <w:r w:rsidR="00E92763" w:rsidRPr="00E92763">
        <w:rPr>
          <w:rFonts w:ascii="Arial" w:hAnsi="Arial" w:cs="Arial"/>
        </w:rPr>
        <w:t xml:space="preserve">самое интересное для инвестора (независимо от того, инвестирует ли он в недвижимость, в </w:t>
      </w:r>
      <w:r w:rsidR="008E4E62">
        <w:rPr>
          <w:rFonts w:ascii="Arial" w:hAnsi="Arial" w:cs="Arial"/>
          <w:lang w:val="ru-RU"/>
        </w:rPr>
        <w:t>любой</w:t>
      </w:r>
      <w:r w:rsidR="00E92763" w:rsidRPr="00E92763">
        <w:rPr>
          <w:rFonts w:ascii="Arial" w:hAnsi="Arial" w:cs="Arial"/>
        </w:rPr>
        <w:t xml:space="preserve"> бизнес или в ценные бумаги). </w:t>
      </w:r>
      <w:proofErr w:type="gramStart"/>
      <w:r w:rsidR="00E92763" w:rsidRPr="00E92763">
        <w:rPr>
          <w:rFonts w:ascii="Arial" w:hAnsi="Arial" w:cs="Arial"/>
        </w:rPr>
        <w:t>Согласно налоговому законодательству Австралии, если его расходы на сделанные вложения в отчетном году превосходят его доходы (например, от сдачи недвижимости в аренду, выплаты дивидендов, и купонного дохода по ценным бумагам), то чистый убыток, который он понес, может быть вычтены из его другого налогооблагаемого дохода.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>Здесь это называют отрицательным левериджем (negative gearing).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>Чтобы использовать эту потенциальную выгоду, важно, чтобы у вас есть еще один источник дохода.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>Например, приобретается недвижимость, которая неуклонно растет в цене, хотя доходы по сдаче ее в аренду не компансируют сделанные расходы.</w:t>
      </w:r>
      <w:proofErr w:type="gramEnd"/>
      <w:r w:rsidR="00E92763" w:rsidRPr="00E92763">
        <w:rPr>
          <w:rFonts w:ascii="Arial" w:hAnsi="Arial" w:cs="Arial"/>
        </w:rPr>
        <w:t xml:space="preserve"> </w:t>
      </w:r>
      <w:proofErr w:type="gramStart"/>
      <w:r w:rsidR="00E92763" w:rsidRPr="00E92763">
        <w:rPr>
          <w:rFonts w:ascii="Arial" w:hAnsi="Arial" w:cs="Arial"/>
        </w:rPr>
        <w:t>Однако ничего страшного, потерю покроет АТО, а в это время можно прикупить еще недвижимость (или акций), продолжая работать по схеме negative gearing.</w:t>
      </w:r>
      <w:proofErr w:type="gramEnd"/>
      <w:r w:rsidR="00E92763" w:rsidRPr="00E92763">
        <w:rPr>
          <w:rFonts w:ascii="Arial" w:hAnsi="Arial" w:cs="Arial"/>
        </w:rPr>
        <w:t xml:space="preserve"> </w:t>
      </w:r>
    </w:p>
    <w:p w:rsidR="00DB585D" w:rsidRDefault="00DB585D" w:rsidP="00E92763">
      <w:pPr>
        <w:jc w:val="both"/>
        <w:rPr>
          <w:rFonts w:ascii="Arial" w:hAnsi="Arial" w:cs="Arial"/>
          <w:lang w:val="ru-RU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Многие австралийцы придерживаются такой стратегии всю жизнь, оказываясь к моменту отхода от дел владельцами крупного состояния.</w:t>
      </w:r>
      <w:proofErr w:type="gramEnd"/>
      <w:r w:rsidRPr="00E92763">
        <w:rPr>
          <w:rFonts w:ascii="Arial" w:hAnsi="Arial" w:cs="Arial"/>
        </w:rPr>
        <w:t xml:space="preserve"> </w:t>
      </w:r>
      <w:r w:rsidR="00DB585D">
        <w:rPr>
          <w:rFonts w:ascii="Arial" w:hAnsi="Arial" w:cs="Arial"/>
          <w:lang w:val="ru-RU"/>
        </w:rPr>
        <w:t>П</w:t>
      </w:r>
      <w:r w:rsidRPr="00E92763">
        <w:rPr>
          <w:rFonts w:ascii="Arial" w:hAnsi="Arial" w:cs="Arial"/>
        </w:rPr>
        <w:t>равительство трати</w:t>
      </w:r>
      <w:r w:rsidR="00DB585D">
        <w:rPr>
          <w:rFonts w:ascii="Arial" w:hAnsi="Arial" w:cs="Arial"/>
          <w:lang w:val="ru-RU"/>
        </w:rPr>
        <w:t>т</w:t>
      </w:r>
      <w:r w:rsidRPr="00E92763">
        <w:rPr>
          <w:rFonts w:ascii="Arial" w:hAnsi="Arial" w:cs="Arial"/>
        </w:rPr>
        <w:t xml:space="preserve"> на компенсации по этой схеме более 30 млрд. </w:t>
      </w:r>
      <w:r w:rsidR="00DB585D">
        <w:rPr>
          <w:rFonts w:ascii="Arial" w:hAnsi="Arial" w:cs="Arial"/>
          <w:lang w:val="ru-RU"/>
        </w:rPr>
        <w:t>д</w:t>
      </w:r>
      <w:r w:rsidRPr="00E92763">
        <w:rPr>
          <w:rFonts w:ascii="Arial" w:hAnsi="Arial" w:cs="Arial"/>
        </w:rPr>
        <w:t>олларов</w:t>
      </w:r>
      <w:r w:rsidR="00DB585D">
        <w:rPr>
          <w:rFonts w:ascii="Arial" w:hAnsi="Arial" w:cs="Arial"/>
          <w:lang w:val="ru-RU"/>
        </w:rPr>
        <w:t xml:space="preserve"> в год</w:t>
      </w:r>
      <w:r w:rsidRPr="00E92763">
        <w:rPr>
          <w:rFonts w:ascii="Arial" w:hAnsi="Arial" w:cs="Arial"/>
        </w:rPr>
        <w:t>. Австралийские экономисты поругивают схему, но она является «священной коровой» австралийского общества, точнее его среднего класса, и ни одно из правительств, предлагающих разнообразные реформы экономики Австралии, не решилось ее отменить. Главный довод в пользу negative gearing – государство должно стимулировать желание делать инвестиции.</w:t>
      </w:r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DB585D" w:rsidRDefault="00DB585D" w:rsidP="00E92763">
      <w:pPr>
        <w:jc w:val="both"/>
        <w:rPr>
          <w:rFonts w:ascii="Arial" w:hAnsi="Arial" w:cs="Arial"/>
          <w:lang w:val="ru-RU"/>
        </w:rPr>
      </w:pPr>
    </w:p>
    <w:p w:rsidR="00E92763" w:rsidRPr="00DB585D" w:rsidRDefault="00E92763" w:rsidP="00E92763">
      <w:pPr>
        <w:jc w:val="both"/>
        <w:rPr>
          <w:rFonts w:ascii="Arial" w:hAnsi="Arial" w:cs="Arial"/>
          <w:b/>
        </w:rPr>
      </w:pPr>
      <w:r w:rsidRPr="00DB585D">
        <w:rPr>
          <w:rFonts w:ascii="Arial" w:hAnsi="Arial" w:cs="Arial"/>
          <w:b/>
        </w:rPr>
        <w:t>Распределение налогов в Австралии- миллионеры на велфере</w:t>
      </w:r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proofErr w:type="gramStart"/>
      <w:r w:rsidRPr="00E92763">
        <w:rPr>
          <w:rFonts w:ascii="Arial" w:hAnsi="Arial" w:cs="Arial"/>
        </w:rPr>
        <w:t>Велфер (welfare) – социальные выплаты государством своим гражданам во многих развитых странах, в частности в США, имеет слегка иничижительный оттенок, т.к. подразумевает материальную помощь некоторым категориям населения, нуждающимся в ней.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В Австралии иное отношение к социальным выплатам из налогов, собранных государством.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Средний класс, основной налогоплательщик в Австралии, пользуется всеми благами системы.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Помимо права на бесплатное медицинское обслуживания миллионеры не теряют права на социальные льготы.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>Кстати, в Австралии есть государственная и частная системы здравоохранения.</w:t>
      </w:r>
      <w:proofErr w:type="gramEnd"/>
      <w:r w:rsidRPr="00E92763">
        <w:rPr>
          <w:rFonts w:ascii="Arial" w:hAnsi="Arial" w:cs="Arial"/>
        </w:rPr>
        <w:t xml:space="preserve"> </w:t>
      </w:r>
      <w:proofErr w:type="gramStart"/>
      <w:r w:rsidRPr="00E92763">
        <w:rPr>
          <w:rFonts w:ascii="Arial" w:hAnsi="Arial" w:cs="Arial"/>
        </w:rPr>
        <w:t xml:space="preserve">Для получения многих льгот состояние банковского счета и недвижимости (assets) не принимается во внимание, все расчеты делаются из соображений годового дохода и </w:t>
      </w:r>
      <w:r w:rsidRPr="00E92763">
        <w:rPr>
          <w:rFonts w:ascii="Arial" w:hAnsi="Arial" w:cs="Arial"/>
        </w:rPr>
        <w:lastRenderedPageBreak/>
        <w:t xml:space="preserve">планка его достаточно высока (например, </w:t>
      </w:r>
      <w:r w:rsidR="00DB585D">
        <w:rPr>
          <w:rFonts w:ascii="Arial" w:hAnsi="Arial" w:cs="Arial"/>
        </w:rPr>
        <w:t>годовая зарплата топ-менеджеров</w:t>
      </w:r>
      <w:r w:rsidR="00DB585D">
        <w:rPr>
          <w:rFonts w:ascii="Arial" w:hAnsi="Arial" w:cs="Arial"/>
          <w:lang w:val="ru-RU"/>
        </w:rPr>
        <w:t xml:space="preserve">, врачей и адвокатов </w:t>
      </w:r>
      <w:r w:rsidRPr="00E92763">
        <w:rPr>
          <w:rFonts w:ascii="Arial" w:hAnsi="Arial" w:cs="Arial"/>
        </w:rPr>
        <w:t xml:space="preserve">в Австралии </w:t>
      </w:r>
      <w:r w:rsidR="00DB585D">
        <w:rPr>
          <w:rFonts w:ascii="Arial" w:hAnsi="Arial" w:cs="Arial"/>
          <w:lang w:val="ru-RU"/>
        </w:rPr>
        <w:t>превышает</w:t>
      </w:r>
      <w:r w:rsidRPr="00E92763">
        <w:rPr>
          <w:rFonts w:ascii="Arial" w:hAnsi="Arial" w:cs="Arial"/>
        </w:rPr>
        <w:t xml:space="preserve"> 250 000 долларов).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DB585D" w:rsidRDefault="00E92763" w:rsidP="00DB585D">
      <w:pPr>
        <w:jc w:val="both"/>
        <w:rPr>
          <w:rFonts w:ascii="Arial" w:hAnsi="Arial" w:cs="Arial"/>
        </w:rPr>
      </w:pPr>
      <w:proofErr w:type="gramStart"/>
      <w:r w:rsidRPr="00DB585D">
        <w:rPr>
          <w:rFonts w:ascii="Arial" w:hAnsi="Arial" w:cs="Arial"/>
        </w:rPr>
        <w:t>Социальные выплаты представителям среднего класса имеют названия налоговых льгот (tax benefits), хотя на самом деле они выплачиваются через систему департамента человеческих ресурсов (Human Resource Department).</w:t>
      </w:r>
      <w:proofErr w:type="gramEnd"/>
      <w:r w:rsidRPr="00DB585D">
        <w:rPr>
          <w:rFonts w:ascii="Arial" w:hAnsi="Arial" w:cs="Arial"/>
        </w:rPr>
        <w:t xml:space="preserve"> Сегодня эти выплаты включают (это не исчерпывающий список):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пособие на неработающего супруга(у) (dependent spouse rebate);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компенсация расходов на образование (education tax refund);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пособие для помощи семье (family tax benefit);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пособие на рождение ребенка (parenting payment);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пособие для поддержки большой семьи (large family supplement);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возврат платежей частным врачам (private health insurance rebate);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DB585D">
        <w:rPr>
          <w:rFonts w:ascii="Arial" w:hAnsi="Arial" w:cs="Arial"/>
        </w:rPr>
        <w:t>компенсация платежей в пенсионный фонд (superannuation tax rebate);</w:t>
      </w:r>
    </w:p>
    <w:p w:rsidR="00E92763" w:rsidRPr="00DB585D" w:rsidRDefault="00E92763" w:rsidP="00DB58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DB585D">
        <w:rPr>
          <w:rFonts w:ascii="Arial" w:hAnsi="Arial" w:cs="Arial"/>
        </w:rPr>
        <w:t>оплата</w:t>
      </w:r>
      <w:proofErr w:type="gramEnd"/>
      <w:r w:rsidRPr="00DB585D">
        <w:rPr>
          <w:rFonts w:ascii="Arial" w:hAnsi="Arial" w:cs="Arial"/>
        </w:rPr>
        <w:t xml:space="preserve"> лекарств (pharmaceutical allowance).</w:t>
      </w:r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E92763" w:rsidRPr="00E92763" w:rsidRDefault="00E92763" w:rsidP="00E92763">
      <w:pPr>
        <w:jc w:val="both"/>
        <w:rPr>
          <w:rFonts w:ascii="Arial" w:hAnsi="Arial" w:cs="Arial"/>
        </w:rPr>
      </w:pPr>
      <w:r w:rsidRPr="00E92763">
        <w:rPr>
          <w:rFonts w:ascii="Arial" w:hAnsi="Arial" w:cs="Arial"/>
        </w:rPr>
        <w:t>Хотя формальная планка налогообложения ставит Австралию на позиции таких стран, как Дания и Финляндия, на самом деле, за последнее десятилетие фактический (с учетом социальных выплат) уровень налогов снизился с 17</w:t>
      </w:r>
      <w:proofErr w:type="gramStart"/>
      <w:r w:rsidRPr="00E92763">
        <w:rPr>
          <w:rFonts w:ascii="Arial" w:hAnsi="Arial" w:cs="Arial"/>
        </w:rPr>
        <w:t>,4</w:t>
      </w:r>
      <w:proofErr w:type="gramEnd"/>
      <w:r w:rsidRPr="00E92763">
        <w:rPr>
          <w:rFonts w:ascii="Arial" w:hAnsi="Arial" w:cs="Arial"/>
        </w:rPr>
        <w:t xml:space="preserve">% до 6,6%. </w:t>
      </w:r>
      <w:proofErr w:type="gramStart"/>
      <w:r w:rsidRPr="00E92763">
        <w:rPr>
          <w:rFonts w:ascii="Arial" w:hAnsi="Arial" w:cs="Arial"/>
        </w:rPr>
        <w:t>По мнению австралийских экономистов, действующая сегодня система велфера для среднего класса превратила Австралию из страны с высокими налогами в благоприятную зону с точки зрения налогообложения (tax heaven).</w:t>
      </w:r>
      <w:proofErr w:type="gramEnd"/>
    </w:p>
    <w:p w:rsidR="00E92763" w:rsidRPr="00E92763" w:rsidRDefault="00E92763" w:rsidP="00E92763">
      <w:pPr>
        <w:jc w:val="both"/>
        <w:rPr>
          <w:rFonts w:ascii="Arial" w:hAnsi="Arial" w:cs="Arial"/>
        </w:rPr>
      </w:pPr>
    </w:p>
    <w:p w:rsidR="00F27AF8" w:rsidRPr="00E92763" w:rsidRDefault="00E92763" w:rsidP="00E92763">
      <w:pPr>
        <w:jc w:val="both"/>
        <w:rPr>
          <w:rFonts w:ascii="Arial" w:hAnsi="Arial" w:cs="Arial"/>
        </w:rPr>
      </w:pPr>
      <w:r w:rsidRPr="00E92763">
        <w:rPr>
          <w:rFonts w:ascii="Arial" w:hAnsi="Arial" w:cs="Arial"/>
        </w:rPr>
        <w:t xml:space="preserve">Если у вас вопросы по </w:t>
      </w:r>
      <w:r w:rsidR="00DB585D">
        <w:rPr>
          <w:rFonts w:ascii="Arial" w:hAnsi="Arial" w:cs="Arial"/>
          <w:lang w:val="ru-RU"/>
        </w:rPr>
        <w:t xml:space="preserve">системе налогообложения </w:t>
      </w:r>
      <w:bookmarkStart w:id="0" w:name="_GoBack"/>
      <w:bookmarkEnd w:id="0"/>
      <w:r w:rsidRPr="00E92763">
        <w:rPr>
          <w:rFonts w:ascii="Arial" w:hAnsi="Arial" w:cs="Arial"/>
        </w:rPr>
        <w:t xml:space="preserve">в Австралии, обращайтесь к нам по е-mail </w:t>
      </w:r>
      <w:hyperlink r:id="rId7" w:history="1">
        <w:r w:rsidR="008E4E62" w:rsidRPr="00425A87">
          <w:rPr>
            <w:rStyle w:val="Hyperlink"/>
            <w:rFonts w:ascii="Arial" w:hAnsi="Arial" w:cs="Arial"/>
          </w:rPr>
          <w:t>info@transfinancesolutions.com</w:t>
        </w:r>
      </w:hyperlink>
      <w:r w:rsidR="008E4E62">
        <w:rPr>
          <w:rFonts w:ascii="Arial" w:hAnsi="Arial" w:cs="Arial"/>
        </w:rPr>
        <w:t xml:space="preserve"> </w:t>
      </w:r>
      <w:r w:rsidRPr="00E92763">
        <w:rPr>
          <w:rFonts w:ascii="Arial" w:hAnsi="Arial" w:cs="Arial"/>
        </w:rPr>
        <w:t xml:space="preserve">и </w:t>
      </w:r>
      <w:r w:rsidR="008E4E62">
        <w:rPr>
          <w:rFonts w:ascii="Arial" w:hAnsi="Arial" w:cs="Arial"/>
          <w:lang w:val="ru-RU"/>
        </w:rPr>
        <w:t>В</w:t>
      </w:r>
      <w:r w:rsidRPr="00E92763">
        <w:rPr>
          <w:rFonts w:ascii="Arial" w:hAnsi="Arial" w:cs="Arial"/>
        </w:rPr>
        <w:t xml:space="preserve">ы получите профессиональную </w:t>
      </w:r>
      <w:r w:rsidR="008E4E62">
        <w:rPr>
          <w:rFonts w:ascii="Arial" w:hAnsi="Arial" w:cs="Arial"/>
          <w:lang w:val="ru-RU"/>
        </w:rPr>
        <w:t>консультацию</w:t>
      </w:r>
      <w:r w:rsidRPr="00E92763">
        <w:rPr>
          <w:rFonts w:ascii="Arial" w:hAnsi="Arial" w:cs="Arial"/>
        </w:rPr>
        <w:t>.</w:t>
      </w:r>
    </w:p>
    <w:sectPr w:rsidR="00F27AF8" w:rsidRPr="00E92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542D"/>
    <w:multiLevelType w:val="hybridMultilevel"/>
    <w:tmpl w:val="F904A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72E5"/>
    <w:multiLevelType w:val="hybridMultilevel"/>
    <w:tmpl w:val="F558D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111AD"/>
    <w:multiLevelType w:val="hybridMultilevel"/>
    <w:tmpl w:val="B7DC1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30915"/>
    <w:multiLevelType w:val="hybridMultilevel"/>
    <w:tmpl w:val="5A62C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97C6C"/>
    <w:multiLevelType w:val="hybridMultilevel"/>
    <w:tmpl w:val="F992E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sbQwNDY2MjM3NjVV0lEKTi0uzszPAykwrAUA4VyVwywAAAA="/>
  </w:docVars>
  <w:rsids>
    <w:rsidRoot w:val="00E92763"/>
    <w:rsid w:val="002B5B62"/>
    <w:rsid w:val="008E4E62"/>
    <w:rsid w:val="00DB585D"/>
    <w:rsid w:val="00DC6A33"/>
    <w:rsid w:val="00E92763"/>
    <w:rsid w:val="00F27AF8"/>
    <w:rsid w:val="00F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transfinance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2017-04-11T02:03:00Z</dcterms:created>
  <dcterms:modified xsi:type="dcterms:W3CDTF">2017-04-11T03:56:00Z</dcterms:modified>
</cp:coreProperties>
</file>